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120"/>
        <w:jc w:val="center"/>
        <w:rPr>
          <w:rFonts w:ascii="Times New Roman" w:hAnsi="Times New Roman" w:cs="Times New Roman"/>
          <w:b/>
          <w:b/>
          <w:lang w:eastAsia="ar-SA"/>
        </w:rPr>
      </w:pPr>
      <w:r>
        <w:rPr>
          <w:rFonts w:cs="Times New Roman" w:ascii="Times New Roman" w:hAnsi="Times New Roman"/>
          <w:b/>
          <w:lang w:eastAsia="ar-SA"/>
        </w:rPr>
        <w:t>PROJETO BÁSICO</w:t>
      </w:r>
    </w:p>
    <w:p>
      <w:pPr>
        <w:pStyle w:val="Normal"/>
        <w:spacing w:lineRule="auto" w:line="276" w:before="0" w:after="120"/>
        <w:jc w:val="center"/>
        <w:rPr>
          <w:rFonts w:ascii="Times New Roman" w:hAnsi="Times New Roman" w:cs="Times New Roman"/>
          <w:lang w:eastAsia="ar-SA"/>
        </w:rPr>
      </w:pPr>
      <w:r>
        <w:rPr>
          <w:rFonts w:cs="Times New Roman" w:ascii="Times New Roman" w:hAnsi="Times New Roman"/>
          <w:lang w:eastAsia="ar-SA"/>
        </w:rPr>
        <w:t>(OBRA DE ENGENHARIA)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OBJETO</w:t>
      </w:r>
    </w:p>
    <w:p>
      <w:pPr>
        <w:pStyle w:val="Normal"/>
        <w:widowControl w:val="false"/>
        <w:numPr>
          <w:ilvl w:val="1"/>
          <w:numId w:val="2"/>
        </w:numPr>
        <w:spacing w:lineRule="auto" w:line="276" w:before="0" w:after="283"/>
        <w:jc w:val="both"/>
        <w:rPr>
          <w:rFonts w:ascii="Times New Roman" w:hAnsi="Times New Roman" w:cs="Times New Roman"/>
        </w:rPr>
      </w:pPr>
      <w:r>
        <w:rPr>
          <w:rFonts w:cs="Times New Roman" w:ascii="Times New Roman" w:hAnsi="Times New Roman"/>
        </w:rPr>
        <w:t xml:space="preserve">Contratação de empresa especializada para execução de obra de engenharia referente a </w:t>
      </w:r>
      <w:r>
        <w:rPr>
          <w:rFonts w:cs="Times New Roman" w:ascii="Times New Roman" w:hAnsi="Times New Roman"/>
          <w:b/>
          <w:bCs/>
        </w:rPr>
        <w:t>O</w:t>
      </w:r>
      <w:r>
        <w:rPr>
          <w:rFonts w:cs="Times New Roman" w:ascii="Times New Roman" w:hAnsi="Times New Roman"/>
          <w:b/>
          <w:bCs/>
          <w:color w:val="000000"/>
          <w:sz w:val="20"/>
          <w:szCs w:val="20"/>
        </w:rPr>
        <w:t>b</w:t>
      </w:r>
      <w:r>
        <w:rPr>
          <w:rFonts w:cs="Times New Roman" w:ascii="Times New Roman" w:hAnsi="Times New Roman"/>
          <w:b/>
          <w:color w:val="000000"/>
          <w:sz w:val="20"/>
          <w:szCs w:val="20"/>
        </w:rPr>
        <w:t>ras e Serviços Remanescentes de Pavimentação e Drenagem de Vias de Acesso a Pontos Turísticos – Meta 03, no Município de Arapiraca/AL.</w:t>
      </w:r>
      <w:r>
        <w:rPr>
          <w:rFonts w:cs="Times New Roman" w:ascii="Times New Roman" w:hAnsi="Times New Roman"/>
        </w:rPr>
        <w:t>, conforme condições, quantidades e exigências estabelecidas neste instrumento.</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 xml:space="preserve">1.2. Os quantitativos e respectivos códigos dos itens são os discriminados nos anexos do Projeto Básico. </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1.3. O regime de execução do contrato será o de EMPREITADA POR PREÇO UNITÁRIO.</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VISTORIA</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No ato da vistoria facultativa, as licitantes devem inteirar-se das condições e do grau de dificuldade dos serviços, não se admitindo, posteriormente, qualquer alegação de desconhecimento dos mesmos, caso opte por não vistoriar na companhia de servidor da Secretaria Municipal de Infraestrutura, deverá declarar que conhece ou verificou todas as dificuldades existentes e se responsabiliza, sob pena de lei, pela execução de serviços nas condições em que se encontra.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EXECUÇÃO DOS SERVIÇOS E SEU RECEBIMENTO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execução dos serviços será iniciada após o recebimento da Ordem de Serviços pela Contratada, cujas etapas observarão o cronograma constante em anexo a este instrumento;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Quando os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O recebimento provisório também ficará sujeito, quando cabível, à conclusão de todos os testes de campo e à entrega dos Manuais e Instruções exigíveis;</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Contratante realizará inspeção minuciosa de todos os serviços executados, por meio de profissionais técnicos competentes, acompanhados dos profissionais encarregados pela obra, com a finalidade de verificar a adequação dos serviços e constatar e relacionar os arremates, retoques e revisões finais que se fizerem necessários;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Após tal inspeção, será lavrado Termo de Recebimento Provisório, em 02 (duas) vias de igual teor e forma, ambas assinadas pela comissão de Recebimento, relatando as eventuais pendências verificadas;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pPr>
        <w:pStyle w:val="Normal"/>
        <w:numPr>
          <w:ilvl w:val="1"/>
          <w:numId w:val="2"/>
        </w:numPr>
        <w:spacing w:lineRule="auto" w:line="276" w:before="0" w:after="360"/>
        <w:jc w:val="both"/>
        <w:rPr>
          <w:rFonts w:ascii="Times New Roman" w:hAnsi="Times New Roman" w:cs="Times New Roman"/>
          <w:iCs/>
          <w:color w:val="000000"/>
        </w:rPr>
      </w:pPr>
      <w:r>
        <w:rPr>
          <w:rFonts w:cs="Times New Roman" w:ascii="Times New Roman" w:hAnsi="Times New Roman"/>
          <w:iCs/>
          <w:color w:val="000000"/>
        </w:rPr>
        <w:t>O Termo de Recebimento Definitivo dos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após solucionadas todas as reclamações porventura feitas quanto à falta de pagamento a operários ou fornecedores de materiais e prestadores de serviços empregados na execução do contrato;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O recebimento definitivo do objeto licitado não exime a Contratada, em qualquer época, das garantias concedidas e das responsabilidades assumidas em contrato e por força das disposições legais em vigor (Lei n° 10.406, de 2002);</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Os serviços poderão ser rejeitados, no todo ou em parte, quando em desacordo com as especificações constantes neste Projeto Básico e na proposta, devendo ser corrigidos/refeitos/substituídos no prazo fixado pelo fiscal do contrato, às custas da contratada, sem prejuízo da aplicação de penalidades.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CONTRATANTE</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o cumprimento de todas as obrigações assumidas pela Contratada, de acordo com as cláusulas contratuais e os termos de sua proposta;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Pagar à Contratada o valor resultante da prestação do serviço, conforme cronograma físico-financeiro ou disponibilidade financeira administrativa.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Efetuar as retenções tributárias devidas sobre o valor da fatura de serviços da Contratada, em conformidade com a legislação em vigor;</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Fornecer por escrito as informações necessárias para o desenvolvimento dos serviços objeto do contrato;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Realizar avaliações periódicas da qualidade dos serviços, após seu recebimento;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Cientificar o órgão de representação judicial da Administração para adoção das medidas cabíveis quando do descumprimento das obrigações pela Contratada;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Arquivamento, entre outros documentos, de projetos, "as built", especificações técnicas, orçamentos, termos de recebimento, contratos e aditamentos, relatórios de inspeções técnicas após o recebimento do serviço e notificações expedidas;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da Contratada que providencie a seguinte documentação como condição indispensável para o recebimento definitivo de objeto, quando for o caso: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w:t>
      </w:r>
      <w:r>
        <w:rPr>
          <w:rFonts w:cs="Times New Roman" w:ascii="Times New Roman" w:hAnsi="Times New Roman"/>
          <w:i/>
        </w:rPr>
        <w:t>as built</w:t>
      </w:r>
      <w:r>
        <w:rPr>
          <w:rFonts w:cs="Times New Roman" w:ascii="Times New Roman" w:hAnsi="Times New Roman"/>
        </w:rPr>
        <w:t>", elaborado pelo responsável por sua execução;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comprovação das ligações definitivas de energia, água, telefone e gás;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laudo de vistoria do corpo de bombeiros aprovando o serviço;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carta "habite-se", emitida pela prefeitura;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certidão negativa de débitos previdenciários específica para o registro da obra junto ao Cartório de Registro de Imóveis;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reparação dos vícios verificados dentro do prazo de garantia do serviço, tendo em vista o direito assegurado à Contratante no art. 69 da Lei nº 8.666/93 e no art. 12 da Lei nº 8.078/90 (Código de Defesa do Consumidor).</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CONTRATADA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color w:val="000000"/>
        </w:rPr>
        <w:t xml:space="preserve">Executar os serviços conforme especificações deste Projeto Básico e de sua proposta, com a alocação dos empregados necessários ao perfeito cumprimento das cláusulas contratuais, </w:t>
      </w:r>
      <w:r>
        <w:rPr>
          <w:rFonts w:cs="Times New Roman" w:ascii="Times New Roman" w:hAnsi="Times New Roman"/>
        </w:rPr>
        <w:t>além de fornecer e utilizar os materiais e equipamentos, ferramentas e utensílios necessários, na qualidade e quantidade mínimas especificadas neste instrumento e em sua proposta</w:t>
      </w:r>
      <w:r>
        <w:rPr>
          <w:rFonts w:cs="Times New Roman" w:ascii="Times New Roman" w:hAnsi="Times New Roman"/>
          <w:color w:val="000000"/>
        </w:rPr>
        <w: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Reparar, corrigir, remover ou substituir, às suas expensas, no total ou em parte, no prazo fixado pelo fiscal do contrato, os serviços efetuados em que se verificarem vícios, defeitos ou incorreções resultantes da execução ou dos materiais empregados;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Manter os empregados nos horários predeterminados pela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pelos vícios e danos decorrentes da execução do objeto, de acordo com os artigos 14 e 17 a 27, do Código de Defesa do Consumidor (Lei nº 8.078, de 1990), ficando a Contratante autorizada a descontar da garantia prestada, caso exigida no edital, ou dos pagamentos devidos à Contratada, o valor correspondente aos danos sofridos;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Utilizar empregados habilitados e com conhecimentos básicos dos serviços a serem executados, em conformidade com as normas e determinações em vigor;</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os empregados devidamente identificados por meio de crachá, além de provê-los com os Equipamentos de Proteção Individual - EPI;</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à Contratante, quando for o caso, a relação nominal dos empregados que adentrarão no órgão para a execução do serviço;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por todas as obrigações trabalhistas, sociais, previdenciárias, tributárias e as demais previstas na legislação específica, cuja inadimplência não transfere responsabilidade à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quando solicitado pela Administração, atestado de antecedentes criminais e distribuição cível de toda a mão de obra oferecida para atuar nas instalações do órgão;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quanto à necessidade de acatar as Normas Internas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Relatar à Contratante toda e qualquer irregularidade verificada no decorrer da prestação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Não permitir a utilização de qualquer trabalho de menor de dezesseis anos, exceto na condição de aprendiz para os maiores de quatorze anos; nem permitir a utilização do trabalho do menor de dezoito anos em trabalho noturno, perigoso ou insalubre;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durante toda a vigência do contrato, em compatibilidade com as obrigações assumidas, todas as condições de habilitação e qualificação exigidas na licitação;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Guardar sigilo sobre todas as informações obtidas em decorrência do cumprimento do contrato;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preposto aceito pela Contratante nos horários e locais de prestação de serviço para representá-la na execução do contrato com capacidade para tomar decisões compatíveis com os compromissos assumidos;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Cumprir, além dos postulados legais vigentes de âmbito federal, estadual ou municipal, as normas de segurança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os seus empregados, quanto à prevenção de incêndios nas áreas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Comunicar ao Fiscal do contrato, no prazo de 24 (vinte e quatro) horas, qualquer ocorrência anormal ou acidente que se verifique no local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todo esclarecimento ou informação solicitada pela Contratante ou por seus prepostos, garantindo-lhes o acesso, a qualquer tempo, ao local dos trabalhos, bem como aos documentos relativos à execução do empreendimento;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Paralisar, por determinação da Contratante, qualquer atividade que não esteja sendo executada de acordo com a boa técnica ou que ponha em risco a segurança de pessoas ou bens de terceiros;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Adotar as providências e precauções necessárias, inclusive consulta nos respectivos órgãos, se necessário for, a fim de que não venham a ser danificadas as redes hidrossanitárias, elétricas e de comunicação;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guarda, manutenção e vigilância de materiais, ferramentas, e tudo o que for necessário à execução dos serviços, durante a vigência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Providenciar junto ao CREA e/ou ao CAU-BR as Anotações e Registros de Responsabilidade Técnica referentes ao objeto do contrato e especialidades pertinentes, nos termos das normas pertinentes (Leis nºs 6.496/77 e 12.378/2010);</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Obter junto ao Município, conforme o caso, as licenças necessárias e demais documentos e autorizações exigíveis, na forma da legislação aplicável;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Ceder os direitos patrimoniais relativos ao projeto ou serviço técnico especializado, para que a Administração possa utilizá-lo de acordo com o previsto neste Projeto Básico e seus anexos, conforme artigo 111 da Lei n°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Assegurar à CONTRATANTE: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organização técnica e administrativa dos serviços, de modo a conduzi-los eficaz e eficientemente, de acordo com os documentos e especificações que integram este Projeto Básico, no prazo determinado;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Conduzir os trabalhos com estrita observância às normas da legislação pertinente, cumprindo as determinações dos Poderes Públicos, mantendo sempre limpo o local dos serviços e nas melhores condições de segurança, higiene e disciplina;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Submeter previamente, por escrito, à Contratante, para análise e aprovação, quaisquer mudanças nos métodos executivos que fujam às especificações do memorial descritivo;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 ou a qualquer tempo se constatado pelo fiscal da Contratante;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Utilizar somente matéria-prima florestal procedente, nos termos do artigo 11 do Decreto n° 5.975, de 2006,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Comprovar a procedência legal dos produtos ou subprodutos florestais utilizados em cada etapa da execução contratual, por ocasião da respectiva medição, mediante a apresentação dos seguintes documentos, conforme o caso:</w:t>
      </w:r>
    </w:p>
    <w:p>
      <w:pPr>
        <w:pStyle w:val="Normal"/>
        <w:numPr>
          <w:ilvl w:val="2"/>
          <w:numId w:val="2"/>
        </w:numPr>
        <w:spacing w:lineRule="auto" w:line="276" w:before="0" w:after="360"/>
        <w:ind w:left="567" w:hanging="0"/>
        <w:jc w:val="both"/>
        <w:rPr>
          <w:rFonts w:ascii="Times New Roman" w:hAnsi="Times New Roman" w:cs="Times New Roman"/>
        </w:rPr>
      </w:pPr>
      <w:bookmarkStart w:id="0" w:name="_Hlk491881345"/>
      <w:r>
        <w:rPr>
          <w:rFonts w:cs="Times New Roman" w:ascii="Times New Roman" w:hAnsi="Times New Roman"/>
        </w:rPr>
        <w:t>Cópias autenticadas das notas fiscais de aquisição dos produtos ou subprodutos florestais;</w:t>
      </w:r>
      <w:bookmarkEnd w:id="0"/>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31, de 03/12/2009, e legislação correlata;</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Documento de Origem Florestal – DOF, instituído pela Portaria n° 253, de 18/08/2006, do Ministério do Meio Ambiente, e Instrução Normativa IBAMA n° 112, de 21/08/2006, quando se tratar de produtos ou subprodutos florestais de origem nativa cujo transporte e armazenamento exijam a emissão de tal licença obrigatória.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Nos termos dos artigos 3° e 10° da Resolução CONAMA n° 307, de 05/07/2002, a CONTRATADA deverá providenciar a destinação ambientalmente adequada dos resíduos da construção civil originários da contratação, obedecendo, no que couber, aos seguintes procedimentos: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A (reutilizáveis ou recicláveis como agregados): deverão ser reutilizados ou reciclados na forma de agregados, ou encaminhados a aterros de resíduos classe A de reservação de material para usos futuros;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B (recicláveis para outras destinações): deverão ser reutilizados, reciclados ou encaminhados a áreas de armazenamento temporário, sendo dispostos de modo a permitir a sua utilização ou reciclagem futura;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C (para os quais não foram desenvolvidas tecnologias ou aplicações economicamente viáveis que permitam a sua reciclagem/recuperação): deverão ser armazenados, transportados e destinados em conformidade com as normas técnicas específicas;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D (perigosos, contaminados ou prejudiciais à saúde): deverão ser armazenados, transportados, reutilizados e destinados em conformidade com as normas técnicas específicas.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Em nenhuma hipótese a Contratada poderá dispor os resíduos originários da contratação em aterros de resíduos sólidos urbanos, áreas de “bota fora”, encostas, corpos d´água, lotes vagos e áreas protegidas por Lei, bem como em áreas não licenciadas;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Para fins de fiscalização do fiel cumprimento do Programa Municipal de Gerenciamento de Resíduos da Construção Civil, ou do Projeto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Projeto Básico e demais documentos 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Fornecer, quando for o caso, os projetos executivos desenvolvidos pela contratada,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elaboração dos projetos executivos, quando for o caso, deverá partir das soluções desenvolvidas nos anteprojetos constantes neste Projeto Básico e seus anexos (Caderno de Encargos e Especificações Técnicas) e apresentar o detalhamento dos elementos construtivos e especificações técnicas, incorporando as alterações exigidas pelas mútuas interferências entre os diversos projetos;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empresa contratada cujos empregados vinculados ao serviço sejam regidos pela CLT deverá entregar ao setor responsável pela fiscalização do contrato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Serão de exclusiva responsabilidade da contratada eventuais erros/equívocos no dimensionamento da proposta;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os técnicos da área requisitante, o preposto da empresa e os gerentes das áreas que executarão os serviços contratados.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CONTROLE E FISCALIZAÇÃO DA EXECUÇÃO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arts. 67 e 73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ter a qualificação necessária para o acompanhamento e controle da execução dos serviços e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verificação da adequação da prestação do serviço deverá ser realizada com base nos critérios previstos neste Projeto Básico;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marca, qualidade e forma de uso;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promover o registro das ocorrências verificadas, adotando as providências necessárias ao fiel cumprimento das cláusulas contratuais, conforme o disposto nos §§ 1º e 2º do art. 67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descumprimento total ou parcial das obrigações e responsabilidades assumidas pela Contratada, sobretudo quanto às obrigações e encargos sociais e trabalhistas, ensejará a aplicação de sanções administrativas, previstas no edital da licitação e na legislação vigente, podendo culminar em rescisão contratual, conforme disposto nos artigos 77 e 87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DA SUBCONTRATAÇÃO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Não será admitida a subcontratação do objeto licitatório;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SANÇÕES ADMINISTRATIVAS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 sanções relacionadas à execução contratual serão aquelas previstas no edital da licitação.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Integram este Projeto Básico, para todos os fins e efeitos, os seguintes anexos e impressos em mídia digital (CD):</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Caderno de Encargos e Especificações Técnicas;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Planilha Estimativa de Custos e Formação de Preços;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Memória de Cálculo;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Curva ABC;</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Planilha de Composição de BDI;</w:t>
      </w:r>
    </w:p>
    <w:p>
      <w:pPr>
        <w:pStyle w:val="Normal"/>
        <w:numPr>
          <w:ilvl w:val="2"/>
          <w:numId w:val="2"/>
        </w:numPr>
        <w:spacing w:lineRule="auto" w:line="276" w:before="0" w:after="360"/>
        <w:jc w:val="both"/>
        <w:rPr>
          <w:rFonts w:ascii="Times New Roman" w:hAnsi="Times New Roman" w:cs="Times New Roman"/>
        </w:rPr>
      </w:pPr>
      <w:r>
        <w:rPr>
          <w:rFonts w:eastAsia="Palatino Linotype" w:cs="Times New Roman" w:ascii="Times New Roman" w:hAnsi="Times New Roman"/>
        </w:rPr>
        <w:t xml:space="preserve"> </w:t>
      </w:r>
      <w:r>
        <w:rPr>
          <w:rFonts w:cs="Times New Roman" w:ascii="Times New Roman" w:hAnsi="Times New Roman"/>
        </w:rPr>
        <w:t>Composição de preços unitário para materiais, equipamentos e serviços;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Cronograma Físico-Financeiro;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Projeto Arquitetônico e/ou completar;</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Relatório Fotografico.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Integram este Projeto Básico, ainda, para todos os fins e efeitos, os respectivos projetos de engenharia, bem como os documentos referentes à responsabilidade técnica (ART/RRT referentes à totalidade das peças técnicas produzidas por profissional habilitado).</w:t>
      </w:r>
    </w:p>
    <w:p>
      <w:pPr>
        <w:pStyle w:val="Normal"/>
        <w:spacing w:lineRule="auto" w:line="276" w:before="0" w:after="360"/>
        <w:ind w:left="284" w:hanging="0"/>
        <w:jc w:val="both"/>
        <w:rPr>
          <w:rFonts w:ascii="Times New Roman" w:hAnsi="Times New Roman" w:cs="Times New Roman"/>
        </w:rPr>
      </w:pPr>
      <w:r>
        <w:rPr>
          <w:rFonts w:cs="Times New Roman" w:ascii="Times New Roman" w:hAnsi="Times New Roman"/>
        </w:rPr>
      </w:r>
    </w:p>
    <w:p>
      <w:pPr>
        <w:pStyle w:val="Normal"/>
        <w:spacing w:lineRule="auto" w:line="276" w:before="0" w:after="360"/>
        <w:ind w:left="284" w:hanging="0"/>
        <w:jc w:val="center"/>
        <w:rPr/>
      </w:pPr>
      <w:r>
        <w:rPr>
          <w:rFonts w:eastAsia="Arial Unicode MS" w:cs="Times New Roman" w:ascii="Times New Roman" w:hAnsi="Times New Roman"/>
        </w:rPr>
        <w:t>Arapiraca – AL, 22 de junho de 2023.</w:t>
      </w:r>
    </w:p>
    <w:p>
      <w:pPr>
        <w:pStyle w:val="Normal"/>
        <w:spacing w:lineRule="auto" w:line="276" w:before="0" w:after="36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___________________________________</w:t>
      </w:r>
    </w:p>
    <w:p>
      <w:pPr>
        <w:pStyle w:val="Normal"/>
        <w:spacing w:lineRule="auto" w:line="240" w:before="0" w:after="0"/>
        <w:ind w:left="284" w:hanging="0"/>
        <w:jc w:val="center"/>
        <w:rPr>
          <w:rFonts w:ascii="Times New Roman" w:hAnsi="Times New Roman" w:eastAsia="Arial Unicode MS" w:cs="Times New Roman"/>
          <w:b/>
          <w:b/>
        </w:rPr>
      </w:pPr>
      <w:r>
        <w:rPr>
          <w:rFonts w:eastAsia="Arial Unicode MS" w:cs="Times New Roman" w:ascii="Times New Roman" w:hAnsi="Times New Roman"/>
          <w:b/>
        </w:rPr>
        <w:t xml:space="preserve">Sileide Barbosa de Oliveira </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Mat. 120258</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_______________________________________</w:t>
      </w:r>
    </w:p>
    <w:p>
      <w:pPr>
        <w:pStyle w:val="Normal"/>
        <w:spacing w:lineRule="auto" w:line="240" w:before="0" w:after="0"/>
        <w:ind w:left="284" w:hanging="0"/>
        <w:jc w:val="center"/>
        <w:rPr>
          <w:rFonts w:ascii="Times New Roman" w:hAnsi="Times New Roman" w:eastAsia="Arial Unicode MS" w:cs="Times New Roman"/>
          <w:b/>
          <w:b/>
        </w:rPr>
      </w:pPr>
      <w:r>
        <w:rPr>
          <w:rFonts w:eastAsia="Arial Unicode MS" w:cs="Times New Roman" w:ascii="Times New Roman" w:hAnsi="Times New Roman"/>
          <w:b/>
          <w:sz w:val="24"/>
          <w:szCs w:val="24"/>
        </w:rPr>
        <w:t xml:space="preserve">Técnico Responsável: </w:t>
      </w:r>
      <w:r>
        <w:rPr>
          <w:rFonts w:eastAsia="Arial Unicode MS" w:cs="Times New Roman" w:ascii="Times New Roman" w:hAnsi="Times New Roman"/>
          <w:b/>
        </w:rPr>
        <w:t>Igor Nascimento Silva</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Engenheiro Civil</w:t>
      </w:r>
    </w:p>
    <w:p>
      <w:pPr>
        <w:pStyle w:val="Normal"/>
        <w:spacing w:before="0" w:after="0"/>
        <w:jc w:val="center"/>
        <w:rPr/>
      </w:pPr>
      <w:bookmarkStart w:id="1" w:name="_GoBack1"/>
      <w:bookmarkEnd w:id="1"/>
      <w:r>
        <w:rPr>
          <w:rFonts w:eastAsia="Arial Unicode MS" w:cs="Times New Roman" w:ascii="Times New Roman" w:hAnsi="Times New Roman"/>
          <w:sz w:val="24"/>
          <w:szCs w:val="24"/>
        </w:rPr>
        <w:t>CREA/AL Nº 021.991.115 – 0.</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_____________________________________</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 xml:space="preserve">Projeto aprovado por: Fernanda L. Ferreira da Silva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Superintendente de Projetos e Orçamentos de Obras</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 xml:space="preserve">Arquiteta e Urbanista </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CAU Nº A136028-0</w:t>
      </w:r>
    </w:p>
    <w:p>
      <w:pPr>
        <w:pStyle w:val="Normal"/>
        <w:spacing w:lineRule="auto" w:line="240" w:before="0" w:after="0"/>
        <w:jc w:val="center"/>
        <w:rPr>
          <w:rFonts w:ascii="Times New Roman" w:hAnsi="Times New Roman" w:cs="Times New Roman"/>
        </w:rPr>
      </w:pPr>
      <w:r>
        <w:rPr>
          <w:rFonts w:cs="Times New Roman" w:ascii="Times New Roman" w:hAnsi="Times New Roman"/>
        </w:rPr>
        <w:t xml:space="preserve"> </w:t>
      </w:r>
    </w:p>
    <w:p>
      <w:pPr>
        <w:pStyle w:val="Normal"/>
        <w:spacing w:lineRule="auto" w:line="240" w:before="0" w:after="0"/>
        <w:jc w:val="center"/>
        <w:rPr>
          <w:rFonts w:ascii="Times New Roman" w:hAnsi="Times New Roman" w:cs="Times New Roman"/>
        </w:rPr>
      </w:pPr>
      <w:r>
        <w:rPr>
          <w:rFonts w:cs="Times New Roman" w:ascii="Times New Roman" w:hAnsi="Times New Roman"/>
        </w:rPr>
      </w:r>
    </w:p>
    <w:p>
      <w:pPr>
        <w:pStyle w:val="Normal"/>
        <w:spacing w:lineRule="auto" w:line="240" w:before="0" w:after="0"/>
        <w:jc w:val="center"/>
        <w:rPr>
          <w:rFonts w:ascii="Times New Roman" w:hAnsi="Times New Roman" w:cs="Times New Roman"/>
        </w:rPr>
      </w:pPr>
      <w:r>
        <w:rPr>
          <w:rFonts w:cs="Times New Roman" w:ascii="Times New Roman" w:hAnsi="Times New Roman"/>
        </w:rPr>
      </w:r>
    </w:p>
    <w:p>
      <w:pPr>
        <w:pStyle w:val="Normal"/>
        <w:spacing w:lineRule="auto" w:line="240" w:before="0" w:after="0"/>
        <w:jc w:val="center"/>
        <w:rPr>
          <w:rFonts w:ascii="Times New Roman" w:hAnsi="Times New Roman" w:cs="Times New Roman"/>
        </w:rPr>
      </w:pPr>
      <w:r>
        <w:rPr>
          <w:rFonts w:cs="Times New Roman" w:ascii="Times New Roman" w:hAnsi="Times New Roman"/>
        </w:rPr>
        <w:t>___________________________________</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Mallena Soares da Silva</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 xml:space="preserve">Secretaria Adjunta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Engenheira Civil</w:t>
      </w:r>
    </w:p>
    <w:p>
      <w:pPr>
        <w:pStyle w:val="Normal"/>
        <w:spacing w:before="0" w:after="0"/>
        <w:jc w:val="center"/>
        <w:rPr>
          <w:rFonts w:ascii="Times New Roman" w:hAnsi="Times New Roman" w:cs="Times New Roman"/>
          <w:sz w:val="24"/>
          <w:szCs w:val="24"/>
        </w:rPr>
      </w:pPr>
      <w:r>
        <w:rPr>
          <w:rFonts w:cs="Times New Roman" w:ascii="Times New Roman" w:hAnsi="Times New Roman"/>
          <w:b/>
          <w:color w:val="222222"/>
          <w:sz w:val="24"/>
          <w:szCs w:val="24"/>
        </w:rPr>
        <w:t>CREA Nº 021954204-0.</w:t>
      </w:r>
    </w:p>
    <w:p>
      <w:pPr>
        <w:pStyle w:val="Normal"/>
        <w:spacing w:lineRule="auto" w:line="276" w:before="0" w:after="360"/>
        <w:ind w:left="284" w:hanging="0"/>
        <w:jc w:val="center"/>
        <w:rPr>
          <w:rFonts w:ascii="Times New Roman" w:hAnsi="Times New Roman" w:eastAsia="Arial Unicode MS" w:cs="Times New Roman"/>
        </w:rPr>
      </w:pPr>
      <w:r>
        <w:rPr/>
      </w:r>
    </w:p>
    <w:sectPr>
      <w:headerReference w:type="default" r:id="rId2"/>
      <w:footerReference w:type="default" r:id="rId3"/>
      <w:type w:val="nextPage"/>
      <w:pgSz w:w="11906" w:h="16838"/>
      <w:pgMar w:left="1701" w:right="851" w:gutter="0" w:header="709" w:top="1701" w:footer="73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Futura-BoldOblique">
    <w:altName w:val="Bookman Old"/>
    <w:charset w:val="00"/>
    <w:family w:val="roman"/>
    <w:pitch w:val="variable"/>
  </w:font>
  <w:font w:name="Segoe UI">
    <w:charset w:val="00"/>
    <w:family w:val="roman"/>
    <w:pitch w:val="variable"/>
  </w:font>
  <w:font w:name="Palatino Linotype">
    <w:charset w:val="00"/>
    <w:family w:val="roman"/>
    <w:pitch w:val="variable"/>
  </w:font>
  <w:font w:name="Liberation Sans">
    <w:altName w:val="Arial"/>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625739101"/>
    </w:sdtPr>
    <w:sdtContent>
      <w:p>
        <w:pPr>
          <w:pStyle w:val="Rodap"/>
          <w:jc w:val="right"/>
          <w:rPr/>
        </w:pPr>
        <w:r>
          <w:rPr/>
          <w:fldChar w:fldCharType="begin"/>
        </w:r>
        <w:r>
          <w:rPr/>
          <w:instrText xml:space="preserve"> PAGE </w:instrText>
        </w:r>
        <w:r>
          <w:rPr/>
          <w:fldChar w:fldCharType="separate"/>
        </w:r>
        <w:r>
          <w:rPr/>
          <w:t>11</w:t>
        </w:r>
        <w:r>
          <w:rPr/>
          <w:fldChar w:fldCharType="end"/>
        </w:r>
        <w:r>
          <w:rPr/>
          <w:t>/11</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tabs>
        <w:tab w:val="center" w:pos="4252" w:leader="none"/>
        <w:tab w:val="left" w:pos="4940" w:leader="none"/>
        <w:tab w:val="right" w:pos="8504" w:leader="none"/>
      </w:tabs>
      <w:rPr/>
    </w:pPr>
    <w:r>
      <mc:AlternateContent>
        <mc:Choice Requires="wps">
          <w:drawing>
            <wp:anchor behindDoc="1" distT="0" distB="0" distL="0" distR="0" simplePos="0" locked="0" layoutInCell="0" allowOverlap="1" relativeHeight="22" wp14:anchorId="39B734CF">
              <wp:simplePos x="0" y="0"/>
              <wp:positionH relativeFrom="margin">
                <wp:posOffset>2098675</wp:posOffset>
              </wp:positionH>
              <wp:positionV relativeFrom="paragraph">
                <wp:posOffset>67945</wp:posOffset>
              </wp:positionV>
              <wp:extent cx="3953510" cy="477520"/>
              <wp:effectExtent l="0" t="0" r="0" b="0"/>
              <wp:wrapNone/>
              <wp:docPr id="1" name="Caixa de Texto 2"/>
              <a:graphic xmlns:a="http://schemas.openxmlformats.org/drawingml/2006/main">
                <a:graphicData uri="http://schemas.microsoft.com/office/word/2010/wordprocessingShape">
                  <wps:wsp>
                    <wps:cNvSpPr/>
                    <wps:spPr>
                      <a:xfrm>
                        <a:off x="0" y="0"/>
                        <a:ext cx="3953520" cy="477360"/>
                      </a:xfrm>
                      <a:prstGeom prst="rect">
                        <a:avLst/>
                      </a:prstGeom>
                      <a:solidFill>
                        <a:srgbClr val="ffffff"/>
                      </a:solidFill>
                      <a:ln w="9360">
                        <a:noFill/>
                      </a:ln>
                    </wps:spPr>
                    <wps:style>
                      <a:lnRef idx="0"/>
                      <a:fillRef idx="0"/>
                      <a:effectRef idx="0"/>
                      <a:fontRef idx="minor"/>
                    </wps:style>
                    <wps:txb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spacing w:before="0" w:after="160"/>
                            <w:jc w:val="right"/>
                            <w:rPr>
                              <w:rFonts w:ascii="Arial" w:hAnsi="Arial" w:cs="Arial"/>
                              <w:b/>
                              <w:b/>
                              <w:sz w:val="24"/>
                            </w:rPr>
                          </w:pPr>
                          <w:r>
                            <w:rPr>
                              <w:rFonts w:cs="Arial" w:ascii="Arial" w:hAnsi="Arial"/>
                              <w:b/>
                              <w:color w:val="000000"/>
                              <w:sz w:val="24"/>
                            </w:rPr>
                          </w:r>
                        </w:p>
                      </w:txbxContent>
                    </wps:txbx>
                    <wps:bodyPr anchor="t">
                      <a:noAutofit/>
                    </wps:bodyPr>
                  </wps:wsp>
                </a:graphicData>
              </a:graphic>
            </wp:anchor>
          </w:drawing>
        </mc:Choice>
        <mc:Fallback>
          <w:pict>
            <v:rect id="shape_0" ID="Caixa de Texto 2" path="m0,0l-2147483645,0l-2147483645,-2147483646l0,-2147483646xe" fillcolor="white" stroked="f" o:allowincell="f" style="position:absolute;margin-left:165.25pt;margin-top:5.35pt;width:311.25pt;height:37.55pt;mso-wrap-style:square;v-text-anchor:top;mso-position-horizontal-relative:margin" wp14:anchorId="39B734CF">
              <v:fill o:detectmouseclick="t" type="solid" color2="black"/>
              <v:stroke color="#3465a4" weight="9360" joinstyle="round" endcap="flat"/>
              <v:textbo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spacing w:before="0" w:after="160"/>
                      <w:jc w:val="right"/>
                      <w:rPr>
                        <w:rFonts w:ascii="Arial" w:hAnsi="Arial" w:cs="Arial"/>
                        <w:b/>
                        <w:b/>
                        <w:sz w:val="24"/>
                      </w:rPr>
                    </w:pPr>
                    <w:r>
                      <w:rPr>
                        <w:rFonts w:cs="Arial" w:ascii="Arial" w:hAnsi="Arial"/>
                        <w:b/>
                        <w:color w:val="000000"/>
                        <w:sz w:val="24"/>
                      </w:rPr>
                    </w:r>
                  </w:p>
                </w:txbxContent>
              </v:textbox>
              <w10:wrap type="none"/>
            </v:rect>
          </w:pict>
        </mc:Fallback>
      </mc:AlternateContent>
    </w:r>
    <w:r>
      <w:rPr>
        <w:rFonts w:cs="Arial" w:ascii="Arial" w:hAnsi="Arial"/>
        <w:sz w:val="24"/>
        <w:szCs w:val="24"/>
        <w:lang w:eastAsia="pt-BR"/>
      </w:rPr>
      <w:t xml:space="preserve"> </w:t>
    </w:r>
    <w:r>
      <w:rPr/>
      <w:drawing>
        <wp:inline distT="0" distB="0" distL="0" distR="0">
          <wp:extent cx="1652270" cy="499745"/>
          <wp:effectExtent l="0" t="0" r="0" b="0"/>
          <wp:docPr id="3" name="Imagem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
                  <pic:cNvPicPr>
                    <a:picLocks noChangeAspect="1" noChangeArrowheads="1"/>
                  </pic:cNvPicPr>
                </pic:nvPicPr>
                <pic:blipFill>
                  <a:blip r:embed="rId1"/>
                  <a:stretch>
                    <a:fillRect/>
                  </a:stretch>
                </pic:blipFill>
                <pic:spPr bwMode="auto">
                  <a:xfrm>
                    <a:off x="0" y="0"/>
                    <a:ext cx="1652270" cy="499745"/>
                  </a:xfrm>
                  <a:prstGeom prst="rect">
                    <a:avLst/>
                  </a:prstGeom>
                </pic:spPr>
              </pic:pic>
            </a:graphicData>
          </a:graphic>
        </wp:inline>
      </w:drawing>
    </w:r>
    <w:r>
      <w:rPr/>
      <w:tab/>
    </w:r>
  </w:p>
  <w:p>
    <w:pPr>
      <w:pStyle w:val="Cabealho"/>
      <w:tabs>
        <w:tab w:val="left" w:pos="1590" w:leader="none"/>
        <w:tab w:val="center" w:pos="4252" w:leader="none"/>
        <w:tab w:val="right" w:pos="8504" w:leader="none"/>
      </w:tabs>
      <w:rPr/>
    </w:pPr>
    <w:r>
      <w:rPr/>
      <w:tab/>
    </w:r>
    <w:r>
      <w:rPr/>
      <w:drawing>
        <wp:inline distT="0" distB="0" distL="0" distR="0">
          <wp:extent cx="5939790" cy="46355"/>
          <wp:effectExtent l="0" t="0" r="0" b="0"/>
          <wp:docPr id="4" name="Imagem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7" descr=""/>
                  <pic:cNvPicPr>
                    <a:picLocks noChangeAspect="1" noChangeArrowheads="1"/>
                  </pic:cNvPicPr>
                </pic:nvPicPr>
                <pic:blipFill>
                  <a:blip r:embed="rId2"/>
                  <a:stretch>
                    <a:fillRect/>
                  </a:stretch>
                </pic:blipFill>
                <pic:spPr bwMode="auto">
                  <a:xfrm>
                    <a:off x="0" y="0"/>
                    <a:ext cx="5939790" cy="46355"/>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suff w:val="space"/>
      <w:lvlText w:val="%1."/>
      <w:lvlJc w:val="left"/>
      <w:pPr>
        <w:tabs>
          <w:tab w:val="num" w:pos="0"/>
        </w:tabs>
        <w:ind w:left="0" w:hanging="0"/>
      </w:pPr>
      <w:rPr>
        <w:sz w:val="20"/>
        <w:i w:val="false"/>
        <w:b/>
        <w:szCs w:val="20"/>
        <w:rFonts w:ascii="Palatino Linotype" w:hAnsi="Palatino Linotype" w:eastAsia="Arial Unicode MS" w:cs="Palatino Linotype"/>
      </w:rPr>
    </w:lvl>
    <w:lvl w:ilvl="1">
      <w:start w:val="1"/>
      <w:numFmt w:val="decimal"/>
      <w:suff w:val="space"/>
      <w:lvlText w:val="%1.%2."/>
      <w:lvlJc w:val="left"/>
      <w:pPr>
        <w:tabs>
          <w:tab w:val="num" w:pos="0"/>
        </w:tabs>
        <w:ind w:left="284" w:hanging="0"/>
      </w:pPr>
      <w:rPr>
        <w:sz w:val="20"/>
        <w:i w:val="false"/>
        <w:b/>
        <w:szCs w:val="20"/>
        <w:rFonts w:ascii="Palatino Linotype" w:hAnsi="Palatino Linotype" w:eastAsia="Arial Unicode MS" w:cs="Palatino Linotype"/>
      </w:rPr>
    </w:lvl>
    <w:lvl w:ilvl="2">
      <w:start w:val="1"/>
      <w:numFmt w:val="decimal"/>
      <w:suff w:val="space"/>
      <w:lvlText w:val="%1.%2.%3."/>
      <w:lvlJc w:val="left"/>
      <w:pPr>
        <w:tabs>
          <w:tab w:val="num" w:pos="0"/>
        </w:tabs>
        <w:ind w:left="1134" w:hanging="0"/>
      </w:pPr>
      <w:rPr>
        <w:sz w:val="20"/>
        <w:i w:val="false"/>
        <w:b/>
        <w:szCs w:val="20"/>
        <w:rFonts w:ascii="Palatino Linotype" w:hAnsi="Palatino Linotype" w:eastAsia="Arial Unicode MS" w:cs="Palatino Linotype"/>
      </w:rPr>
    </w:lvl>
    <w:lvl w:ilvl="3">
      <w:start w:val="1"/>
      <w:numFmt w:val="decimal"/>
      <w:suff w:val="space"/>
      <w:lvlText w:val="%1.%2.%3.%4."/>
      <w:lvlJc w:val="left"/>
      <w:pPr>
        <w:tabs>
          <w:tab w:val="num" w:pos="0"/>
        </w:tabs>
        <w:ind w:left="1985" w:hanging="0"/>
      </w:pPr>
      <w:rPr>
        <w:sz w:val="20"/>
        <w:i w:val="false"/>
        <w:b/>
        <w:szCs w:val="20"/>
        <w:rFonts w:ascii="Palatino Linotype" w:hAnsi="Palatino Linotype" w:eastAsia="Arial Unicode MS" w:cs="Palatino Linotype"/>
      </w:rPr>
    </w:lvl>
    <w:lvl w:ilvl="4">
      <w:start w:val="1"/>
      <w:numFmt w:val="lowerLetter"/>
      <w:lvlText w:val="%5."/>
      <w:lvlJc w:val="left"/>
      <w:pPr>
        <w:tabs>
          <w:tab w:val="num" w:pos="0"/>
        </w:tabs>
        <w:ind w:left="2835" w:hanging="0"/>
      </w:pPr>
      <w:rPr>
        <w:sz w:val="20"/>
        <w:i w:val="false"/>
        <w:b/>
        <w:szCs w:val="20"/>
        <w:rFonts w:eastAsia="Arial Unicode MS" w:cs="Palatino Linotype"/>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40"/>
  <w:defaultTabStop w:val="306"/>
  <w:autoHyphenation w:val="true"/>
  <w:hyphenationZone w:val="425"/>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color w:val="00000A"/>
      <w:kern w:val="0"/>
      <w:sz w:val="22"/>
      <w:szCs w:val="22"/>
      <w:lang w:val="pt-BR" w:eastAsia="en-US" w:bidi="ar-SA"/>
    </w:rPr>
  </w:style>
  <w:style w:type="paragraph" w:styleId="Ttulo3">
    <w:name w:val="Heading 3"/>
    <w:basedOn w:val="Normal"/>
    <w:next w:val="Normal"/>
    <w:qFormat/>
    <w:pPr>
      <w:keepNext w:val="true"/>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val="true"/>
      <w:numPr>
        <w:ilvl w:val="3"/>
        <w:numId w:val="1"/>
      </w:numPr>
      <w:spacing w:before="0" w:after="360"/>
      <w:jc w:val="center"/>
      <w:outlineLvl w:val="3"/>
    </w:pPr>
    <w:rPr>
      <w:b/>
      <w:bCs/>
      <w:u w:val="single"/>
      <w:shd w:fill="B3B3B3" w:val="clear"/>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4445e3"/>
    <w:rPr/>
  </w:style>
  <w:style w:type="character" w:styleId="RodapChar" w:customStyle="1">
    <w:name w:val="Rodapé Char"/>
    <w:basedOn w:val="DefaultParagraphFont"/>
    <w:uiPriority w:val="99"/>
    <w:qFormat/>
    <w:rsid w:val="004445e3"/>
    <w:rPr/>
  </w:style>
  <w:style w:type="character" w:styleId="TextodebaloChar" w:customStyle="1">
    <w:name w:val="Texto de balão Char"/>
    <w:basedOn w:val="DefaultParagraphFont"/>
    <w:link w:val="BalloonText"/>
    <w:uiPriority w:val="99"/>
    <w:semiHidden/>
    <w:qFormat/>
    <w:rsid w:val="005760a9"/>
    <w:rPr>
      <w:rFonts w:ascii="Segoe UI" w:hAnsi="Segoe UI" w:cs="Segoe UI"/>
      <w:sz w:val="18"/>
      <w:szCs w:val="18"/>
    </w:rPr>
  </w:style>
  <w:style w:type="character" w:styleId="Hyperlink1" w:customStyle="1">
    <w:name w:val="Hyperlink1"/>
    <w:qFormat/>
    <w:rPr>
      <w:color w:val="0000FF"/>
      <w:u w:val="single"/>
    </w:rPr>
  </w:style>
  <w:style w:type="character" w:styleId="Nfase">
    <w:name w:val="Emphasis"/>
    <w:qFormat/>
    <w:rPr>
      <w:i/>
      <w:iCs/>
    </w:rPr>
  </w:style>
  <w:style w:type="character" w:styleId="WW8Num2z0" w:customStyle="1">
    <w:name w:val="WW8Num2z0"/>
    <w:qFormat/>
    <w:rPr>
      <w:rFonts w:ascii="Palatino Linotype" w:hAnsi="Palatino Linotype" w:eastAsia="Arial Unicode MS" w:cs="Palatino Linotype"/>
      <w:b/>
      <w:i w:val="false"/>
      <w:sz w:val="20"/>
      <w:szCs w:val="20"/>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etexto1"/>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etexto1"/>
    <w:qFormat/>
    <w:pPr>
      <w:keepNext w:val="true"/>
      <w:spacing w:before="240" w:after="120"/>
    </w:pPr>
    <w:rPr>
      <w:rFonts w:ascii="Liberation Sans" w:hAnsi="Liberation Sans" w:eastAsia="Microsoft YaHei" w:cs="Arial"/>
      <w:sz w:val="28"/>
      <w:szCs w:val="28"/>
    </w:rPr>
  </w:style>
  <w:style w:type="paragraph" w:styleId="Corpodetexto1" w:customStyle="1">
    <w:name w:val="Corpo de texto1"/>
    <w:basedOn w:val="Normal"/>
    <w:qFormat/>
    <w:pPr>
      <w:spacing w:before="0" w:after="120"/>
    </w:pPr>
    <w:rPr/>
  </w:style>
  <w:style w:type="paragraph" w:styleId="Caption">
    <w:name w:val="caption"/>
    <w:basedOn w:val="Normal"/>
    <w:qFormat/>
    <w:pPr>
      <w:suppressLineNumbers/>
      <w:spacing w:before="120" w:after="120"/>
    </w:pPr>
    <w:rPr>
      <w:rFonts w:cs="Arial"/>
      <w:i/>
      <w:iCs/>
      <w:sz w:val="24"/>
      <w:szCs w:val="24"/>
    </w:rPr>
  </w:style>
  <w:style w:type="paragraph" w:styleId="CabealhoeRodap" w:customStyle="1">
    <w:name w:val="Cabeçalho e Rodapé"/>
    <w:basedOn w:val="Normal"/>
    <w:qFormat/>
    <w:pPr/>
    <w:rPr/>
  </w:style>
  <w:style w:type="paragraph" w:styleId="Cabealho">
    <w:name w:val="Header"/>
    <w:basedOn w:val="Normal"/>
    <w:link w:val="CabealhoChar"/>
    <w:uiPriority w:val="99"/>
    <w:unhideWhenUsed/>
    <w:rsid w:val="004445e3"/>
    <w:pPr>
      <w:tabs>
        <w:tab w:val="clear" w:pos="306"/>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4445e3"/>
    <w:pPr>
      <w:tabs>
        <w:tab w:val="clear" w:pos="306"/>
        <w:tab w:val="center" w:pos="4252" w:leader="none"/>
        <w:tab w:val="right" w:pos="8504" w:leader="none"/>
      </w:tabs>
      <w:spacing w:lineRule="auto" w:line="240" w:before="0" w:after="0"/>
    </w:pPr>
    <w:rPr/>
  </w:style>
  <w:style w:type="paragraph" w:styleId="BalloonText">
    <w:name w:val="Balloon Text"/>
    <w:basedOn w:val="Normal"/>
    <w:link w:val="TextodebaloChar"/>
    <w:uiPriority w:val="99"/>
    <w:semiHidden/>
    <w:unhideWhenUsed/>
    <w:qFormat/>
    <w:rsid w:val="005760a9"/>
    <w:pPr>
      <w:spacing w:lineRule="auto" w:line="240" w:before="0" w:after="0"/>
    </w:pPr>
    <w:rPr>
      <w:rFonts w:ascii="Segoe UI" w:hAnsi="Segoe UI" w:cs="Segoe UI"/>
      <w:sz w:val="18"/>
      <w:szCs w:val="18"/>
    </w:rPr>
  </w:style>
  <w:style w:type="paragraph" w:styleId="Contedodoquadro" w:customStyle="1">
    <w:name w:val="Conteúdo do quadro"/>
    <w:basedOn w:val="Normal"/>
    <w:qFormat/>
    <w:pPr/>
    <w:rPr/>
  </w:style>
  <w:style w:type="paragraph" w:styleId="Contedodatabela" w:customStyle="1">
    <w:name w:val="Conteúdo da tabela"/>
    <w:basedOn w:val="Normal"/>
    <w:qFormat/>
    <w:pPr>
      <w:suppressLineNumbers/>
    </w:pPr>
    <w:rPr/>
  </w:style>
  <w:style w:type="paragraph" w:styleId="Ttulodetabela" w:customStyle="1">
    <w:name w:val="Título de tabela"/>
    <w:basedOn w:val="Contedodatabela"/>
    <w:qFormat/>
    <w:pPr>
      <w:jc w:val="center"/>
    </w:pPr>
    <w:rPr>
      <w:b/>
      <w:bCs/>
    </w:rPr>
  </w:style>
  <w:style w:type="paragraph" w:styleId="ListParagraph">
    <w:name w:val="List Paragraph"/>
    <w:basedOn w:val="Normal"/>
    <w:qFormat/>
    <w:pPr>
      <w:spacing w:before="0" w:after="160"/>
      <w:ind w:left="720" w:hanging="0"/>
      <w:contextualSpacing/>
    </w:pPr>
    <w:rPr/>
  </w:style>
  <w:style w:type="numbering" w:styleId="NoList" w:default="1">
    <w:name w:val="No List"/>
    <w:uiPriority w:val="99"/>
    <w:semiHidden/>
    <w:unhideWhenUsed/>
    <w:qFormat/>
  </w:style>
  <w:style w:type="numbering" w:styleId="WW8Num2" w:customStyle="1">
    <w:name w:val="WW8Num2"/>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F705B-E180-4921-95D8-ADC4F899A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Application>LibreOffice/7.4.2.3$Windows_X86_64 LibreOffice_project/382eef1f22670f7f4118c8c2dd222ec7ad009daf</Application>
  <AppVersion>15.0000</AppVersion>
  <Pages>11</Pages>
  <Words>3850</Words>
  <Characters>22940</Characters>
  <CharactersWithSpaces>26547</CharactersWithSpaces>
  <Paragraphs>146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2021-02-19T19:44:00Z</dcterms:created>
  <dc:creator>Barbara Thais da Silva</dc:creator>
  <dc:description/>
  <dc:language>pt-BR</dc:language>
  <cp:lastModifiedBy/>
  <cp:lastPrinted>2023-06-28T10:04:13Z</cp:lastPrinted>
  <dcterms:modified xsi:type="dcterms:W3CDTF">2023-07-04T10:26:01Z</dcterms:modified>
  <cp:revision>48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